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9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81470" cy="844550"/>
                <wp:effectExtent l="0" t="0" r="5080" b="0"/>
                <wp:wrapTight wrapText="bothSides">
                  <wp:wrapPolygon edited="1">
                    <wp:start x="0" y="0"/>
                    <wp:lineTo x="0" y="20950"/>
                    <wp:lineTo x="21555" y="20950"/>
                    <wp:lineTo x="21555" y="0"/>
                    <wp:lineTo x="0" y="0"/>
                  </wp:wrapPolygon>
                </wp:wrapTight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>
                          <a:extLst>
                            <a:ext uri="{96DAC541-7B7A-43D3-8B79-37D633B846F1}">
                              <asvg:svgBlip xmlns:asvg="http://schemas.microsoft.com/office/drawing/2016/SVG/main" r:embed="rId9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6681470" cy="84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left;mso-position-vertical-relative:text;margin-top:0.00pt;mso-position-vertical:absolute;width:526.10pt;height:66.50pt;mso-wrap-distance-left:9.00pt;mso-wrap-distance-top:0.00pt;mso-wrap-distance-right:9.00pt;mso-wrap-distance-bottom:0.00pt;" wrapcoords="0 0 0 96991 99792 96991 99792 0 0 0" stroked="f">
                <v:path textboxrect="0,0,0,0"/>
                <w10:wrap type="tight"/>
                <v:imagedata r:id="rId8" o:title=""/>
              </v:shape>
            </w:pict>
          </mc:Fallback>
        </mc:AlternateContent>
      </w:r>
      <w:r>
        <w:rPr>
          <w:sz w:val="24"/>
          <w:szCs w:val="24"/>
        </w:rPr>
        <w:t xml:space="preserve">ПЕРЕЧЕНЬ ОБСЛЕДОВАНИЙ ПЕРЕД ЭКО ПО ОМС</w:t>
      </w:r>
      <w:r>
        <w:rPr>
          <w:sz w:val="24"/>
          <w:szCs w:val="24"/>
        </w:rPr>
      </w:r>
    </w:p>
    <w:p>
      <w:pPr>
        <w:ind w:left="11" w:hanging="10"/>
        <w:spacing w:after="3"/>
        <w:rPr>
          <w:b/>
        </w:rPr>
      </w:pPr>
      <w:r>
        <w:rPr>
          <w:rFonts w:ascii="Arial" w:hAnsi="Arial" w:eastAsia="Arial" w:cs="Arial"/>
          <w:b/>
          <w:color w:val="181717"/>
        </w:rPr>
        <w:t xml:space="preserve">Женщинам</w:t>
      </w:r>
      <w:r>
        <w:rPr>
          <w:b/>
        </w:rPr>
      </w:r>
    </w:p>
    <w:tbl>
      <w:tblPr>
        <w:tblStyle w:val="624"/>
        <w:tblW w:w="10431" w:type="dxa"/>
        <w:tblInd w:w="16" w:type="dxa"/>
        <w:tblCellMar>
          <w:left w:w="51" w:type="dxa"/>
          <w:top w:w="7" w:type="dxa"/>
        </w:tblCellMar>
        <w:tblLook w:val="04A0" w:firstRow="1" w:lastRow="0" w:firstColumn="1" w:lastColumn="0" w:noHBand="0" w:noVBand="1"/>
      </w:tblPr>
      <w:tblGrid>
        <w:gridCol w:w="2868"/>
        <w:gridCol w:w="4624"/>
        <w:gridCol w:w="1649"/>
        <w:gridCol w:w="1290"/>
      </w:tblGrid>
      <w:tr>
        <w:tblPrEx/>
        <w:trPr>
          <w:trHeight w:val="227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right="36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наименование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left="1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срок годности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примечания</w:t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5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Флюорография органов грудной клетки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 год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5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Электрокардиограмма с описанием (при наличии изменений)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6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5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Электрокардиограмма с описанием (при отсутствии изменений)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 год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680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5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Заключение (с голограммой) наркологического, психоневрологического диспансеров об отсутствии противопоказаний к проведению базовой программы ВРТ методом ЭКО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vAlign w:val="center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 год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680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5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Заключение терапевта о состоянии здоровья и возможности вынашивания беременности (с учётом заключений врачей-специалистов по показаниям), при наличии патологии – не более 6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vAlign w:val="center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 год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454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55"/>
              <w:spacing w:after="3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Заключение эндокринолога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при первичном обращении</w:t>
            </w:r>
            <w:r>
              <w:rPr>
                <w:sz w:val="16"/>
                <w:szCs w:val="16"/>
              </w:rPr>
            </w:r>
          </w:p>
          <w:p>
            <w:pPr>
              <w:ind w:left="5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(</w:t>
            </w:r>
            <w:r>
              <w:rPr>
                <w:rFonts w:ascii="Arial" w:hAnsi="Arial" w:eastAsia="Arial" w:cs="Arial"/>
                <w:b/>
                <w:color w:val="181717"/>
                <w:sz w:val="16"/>
                <w:szCs w:val="16"/>
              </w:rPr>
              <w:t xml:space="preserve">при наличии патологии - срок действия не более 6 месяцев)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680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5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Заключение генетика, имеющим в анамнезе (в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т.ч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. у близких родственников) случаи врождённых пороков развития и хромосомных б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олезней, женщинам старше 35 лет, при бесплодии неясного генеза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vAlign w:val="center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635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vAlign w:val="center"/>
            <w:textDirection w:val="lrTb"/>
            <w:noWrap w:val="false"/>
          </w:tcPr>
          <w:p>
            <w:pPr>
              <w:ind w:left="63" w:right="89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УЗИ органов малого таза с определением ко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личества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антральных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фолли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кулов на 5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-7 день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м.ц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.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b/>
                <w:color w:val="181717"/>
                <w:sz w:val="16"/>
                <w:szCs w:val="16"/>
              </w:rPr>
              <w:t xml:space="preserve">(</w:t>
            </w:r>
            <w:r>
              <w:rPr>
                <w:rFonts w:ascii="Arial" w:hAnsi="Arial" w:eastAsia="Arial" w:cs="Arial"/>
                <w:b/>
                <w:color w:val="181717"/>
                <w:sz w:val="16"/>
                <w:szCs w:val="16"/>
              </w:rPr>
              <w:t xml:space="preserve">на этапе подготовки срок действия 6 месяцев</w:t>
            </w:r>
            <w:r>
              <w:rPr>
                <w:rFonts w:ascii="Arial" w:hAnsi="Arial" w:eastAsia="Arial" w:cs="Arial"/>
                <w:b/>
                <w:color w:val="181717"/>
                <w:sz w:val="16"/>
                <w:szCs w:val="16"/>
              </w:rPr>
              <w:t xml:space="preserve">)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spacing w:after="3"/>
              <w:rPr>
                <w:b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181717"/>
                <w:sz w:val="16"/>
                <w:szCs w:val="16"/>
              </w:rPr>
              <w:t xml:space="preserve">за 14 дней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181717"/>
                <w:sz w:val="16"/>
                <w:szCs w:val="16"/>
              </w:rPr>
              <w:t xml:space="preserve">до стимуляции суперовуляции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5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УЗИ молочных желёз (при отсутствии изменений)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 год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5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УЗИ молочных желёз (при наличии изменений – не более 6 мес.)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6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5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Маммография (женщинам старше 40 лет)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 год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454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5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Заключение онколога-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маммолога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(при наличии патологии молочных желёз по показаниям)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vAlign w:val="center"/>
            <w:textDirection w:val="lrTb"/>
            <w:noWrap w:val="false"/>
          </w:tcPr>
          <w:p>
            <w:pPr>
              <w:ind w:right="5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5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УЗИ щитовидной железы (при наличии изменений)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6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5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УЗИ щитовидной железы (при отсутствии изменений)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 год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5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УЗИ органов брюшной полости и почек (при наличии изменений)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6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55" w:right="-18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УЗИ органов брюшной полости и почек (при отсутствии изменений)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 год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609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5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Оценка состояния органов малого таза путём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гистероскопии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,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гистеросальпингографии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,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соногистеросальпингоскопии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, </w:t>
            </w:r>
            <w:r>
              <w:rPr>
                <w:rFonts w:ascii="Arial" w:hAnsi="Arial" w:eastAsia="Arial" w:cs="Arial"/>
                <w:b/>
                <w:color w:val="181717"/>
                <w:sz w:val="16"/>
                <w:szCs w:val="16"/>
              </w:rPr>
              <w:t xml:space="preserve">п</w:t>
            </w:r>
            <w:r>
              <w:rPr>
                <w:rFonts w:ascii="Arial" w:hAnsi="Arial" w:eastAsia="Arial" w:cs="Arial"/>
                <w:b/>
                <w:color w:val="181717"/>
                <w:sz w:val="16"/>
                <w:szCs w:val="16"/>
              </w:rPr>
              <w:t xml:space="preserve">о показаниям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–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лапароскопия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, биопсия эндометрия на 7-11 день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мц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vAlign w:val="center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5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Кольпоскопия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(при отсутствии патологии)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 год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5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Кольпоскопия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( при наличии в анамнезе патологии шейки матки)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6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5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Цитологическое исследование мазков шейки матки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(РАР-тест)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 год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454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5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Исследование мазка на флору из уретры и цервикального канала и степень чистоты влагалища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vAlign w:val="center"/>
            <w:textDirection w:val="lrTb"/>
            <w:noWrap w:val="false"/>
          </w:tcPr>
          <w:p>
            <w:pPr>
              <w:ind w:right="5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10 дней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2868" w:type="dxa"/>
            <w:vAlign w:val="center"/>
            <w:vMerge w:val="restart"/>
            <w:textDirection w:val="lrTb"/>
            <w:noWrap w:val="false"/>
          </w:tcPr>
          <w:p>
            <w:pPr>
              <w:ind w:left="63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Мазки ПЦР: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624" w:type="dxa"/>
            <w:textDirection w:val="lrTb"/>
            <w:noWrap w:val="false"/>
          </w:tcPr>
          <w:p>
            <w:pPr>
              <w:ind w:right="186"/>
              <w:jc w:val="right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neisseria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gonorrhoeae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3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181717" w:sz="4" w:space="0"/>
              <w:bottom w:val="none" w:color="000000" w:sz="4" w:space="0"/>
              <w:right w:val="single" w:color="181717" w:sz="4" w:space="0"/>
            </w:tcBorders>
            <w:tcW w:w="2868" w:type="dxa"/>
            <w:vMerge w:val="continue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624" w:type="dxa"/>
            <w:textDirection w:val="lrTb"/>
            <w:noWrap w:val="false"/>
          </w:tcPr>
          <w:p>
            <w:pPr>
              <w:ind w:left="780"/>
              <w:jc w:val="right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              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trichomonas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vaginalis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3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181717" w:sz="4" w:space="0"/>
              <w:bottom w:val="none" w:color="000000" w:sz="4" w:space="0"/>
              <w:right w:val="single" w:color="181717" w:sz="4" w:space="0"/>
            </w:tcBorders>
            <w:tcW w:w="2868" w:type="dxa"/>
            <w:vMerge w:val="continue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624" w:type="dxa"/>
            <w:textDirection w:val="lrTb"/>
            <w:noWrap w:val="false"/>
          </w:tcPr>
          <w:p>
            <w:pPr>
              <w:ind w:right="152"/>
              <w:jc w:val="right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хламидии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trachomatis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3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181717" w:sz="4" w:space="0"/>
              <w:bottom w:val="none" w:color="000000" w:sz="4" w:space="0"/>
              <w:right w:val="single" w:color="181717" w:sz="4" w:space="0"/>
            </w:tcBorders>
            <w:tcW w:w="2868" w:type="dxa"/>
            <w:vMerge w:val="continue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624" w:type="dxa"/>
            <w:textDirection w:val="lrTb"/>
            <w:noWrap w:val="false"/>
          </w:tcPr>
          <w:p>
            <w:pPr>
              <w:ind w:right="65"/>
              <w:jc w:val="right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микоплазма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genitalium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3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5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Определение группы крови и резус-фактора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бессрочно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454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55" w:right="128"/>
              <w:rPr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Определение антител к бледной трепонеме (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Trepone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ma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pallidum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) в крови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ИФА 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+ РМП(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  <w:lang w:val="en-US"/>
              </w:rPr>
              <w:t xml:space="preserve">RPR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)</w:t>
            </w:r>
            <w:r>
              <w:rPr>
                <w:color w:val="auto"/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vAlign w:val="center"/>
            <w:textDirection w:val="lrTb"/>
            <w:noWrap w:val="false"/>
          </w:tcPr>
          <w:p>
            <w:pPr>
              <w:ind w:right="51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3 мес.</w:t>
            </w:r>
            <w:r>
              <w:rPr>
                <w:color w:val="auto"/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680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55"/>
              <w:spacing w:line="263" w:lineRule="auto"/>
              <w:rPr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Исследование уровня антител классов M, G (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IgM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, 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IgG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) к вирусу иммунодефицита человека-1/2 + Исследование антигена р24 </w:t>
            </w:r>
            <w:r>
              <w:rPr>
                <w:color w:val="auto"/>
                <w:sz w:val="16"/>
                <w:szCs w:val="16"/>
              </w:rPr>
            </w:r>
          </w:p>
          <w:p>
            <w:pPr>
              <w:ind w:left="55"/>
              <w:rPr>
                <w:color w:val="auto"/>
                <w:sz w:val="16"/>
                <w:szCs w:val="16"/>
                <w:lang w:val="en-US"/>
              </w:rPr>
            </w:pPr>
            <w:r>
              <w:rPr>
                <w:rFonts w:ascii="Arial" w:hAnsi="Arial" w:eastAsia="Arial" w:cs="Arial"/>
                <w:color w:val="auto"/>
                <w:sz w:val="16"/>
                <w:szCs w:val="16"/>
                <w:lang w:val="en-US"/>
              </w:rPr>
              <w:t xml:space="preserve">(human immunodeficiency virus HIV 1/2 + Agp24) 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в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крови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  <w:lang w:val="en-US"/>
              </w:rPr>
              <w:t xml:space="preserve"> </w:t>
            </w:r>
            <w:r>
              <w:rPr>
                <w:color w:val="auto"/>
                <w:sz w:val="16"/>
                <w:szCs w:val="16"/>
                <w:lang w:val="en-US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vAlign w:val="center"/>
            <w:textDirection w:val="lrTb"/>
            <w:noWrap w:val="false"/>
          </w:tcPr>
          <w:p>
            <w:pPr>
              <w:ind w:right="41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3 мес.</w:t>
            </w:r>
            <w:r>
              <w:rPr>
                <w:color w:val="auto"/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454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rPr>
                <w:rFonts w:ascii="Arial" w:hAnsi="Arial" w:eastAsia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Определение антител класса G к ядерному антигену (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anti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- 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НВс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IgG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) вируса гепатита В (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Hepatitis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В 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virus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) в крови)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vAlign w:val="center"/>
            <w:textDirection w:val="lrTb"/>
            <w:noWrap w:val="false"/>
          </w:tcPr>
          <w:p>
            <w:pPr>
              <w:ind w:right="51"/>
              <w:jc w:val="center"/>
              <w:rPr>
                <w:rFonts w:ascii="Arial" w:hAnsi="Arial" w:eastAsia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3 мес.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454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rPr>
                <w:rFonts w:ascii="Arial" w:hAnsi="Arial" w:eastAsia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Определение антител класса М к ядерному антигену (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anti-НВс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IgM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) вируса гепатита В (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Hepatitis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В 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virus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) в крови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vAlign w:val="center"/>
            <w:textDirection w:val="lrTb"/>
            <w:noWrap w:val="false"/>
          </w:tcPr>
          <w:p>
            <w:pPr>
              <w:ind w:right="51"/>
              <w:jc w:val="center"/>
              <w:rPr>
                <w:rFonts w:ascii="Arial" w:hAnsi="Arial" w:eastAsia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3 мес.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454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5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Определение суммарных антител классов M и G (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anti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-HVC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IgG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и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anti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-HVC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IgM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) к вирусу гепатита С (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Hepatitis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С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virus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) в крови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vAlign w:val="center"/>
            <w:textDirection w:val="lrTb"/>
            <w:noWrap w:val="false"/>
          </w:tcPr>
          <w:p>
            <w:pPr>
              <w:ind w:right="5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3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2868" w:type="dxa"/>
            <w:vAlign w:val="center"/>
            <w:vMerge w:val="restart"/>
            <w:textDirection w:val="lrTb"/>
            <w:noWrap w:val="false"/>
          </w:tcPr>
          <w:p>
            <w:pPr>
              <w:ind w:left="63" w:right="848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Биохимический анализ крови: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624" w:type="dxa"/>
            <w:textDirection w:val="lrTb"/>
            <w:noWrap w:val="false"/>
          </w:tcPr>
          <w:p>
            <w:pPr>
              <w:ind w:right="109"/>
              <w:jc w:val="both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общий белок 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181717" w:sz="4" w:space="0"/>
              <w:bottom w:val="none" w:color="000000" w:sz="4" w:space="0"/>
              <w:right w:val="single" w:color="181717" w:sz="4" w:space="0"/>
            </w:tcBorders>
            <w:tcW w:w="2868" w:type="dxa"/>
            <w:vMerge w:val="continue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624" w:type="dxa"/>
            <w:textDirection w:val="lrTb"/>
            <w:noWrap w:val="false"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общий билирубин 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181717" w:sz="4" w:space="0"/>
              <w:bottom w:val="none" w:color="000000" w:sz="4" w:space="0"/>
              <w:right w:val="single" w:color="181717" w:sz="4" w:space="0"/>
            </w:tcBorders>
            <w:tcW w:w="2868" w:type="dxa"/>
            <w:vMerge w:val="continue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624" w:type="dxa"/>
            <w:textDirection w:val="lrTb"/>
            <w:noWrap w:val="false"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сахар 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181717" w:sz="4" w:space="0"/>
              <w:bottom w:val="none" w:color="000000" w:sz="4" w:space="0"/>
              <w:right w:val="single" w:color="181717" w:sz="4" w:space="0"/>
            </w:tcBorders>
            <w:tcW w:w="2868" w:type="dxa"/>
            <w:vMerge w:val="continue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624" w:type="dxa"/>
            <w:textDirection w:val="lrTb"/>
            <w:noWrap w:val="false"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общий холестерин 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181717" w:sz="4" w:space="0"/>
              <w:bottom w:val="none" w:color="000000" w:sz="4" w:space="0"/>
              <w:right w:val="single" w:color="181717" w:sz="4" w:space="0"/>
            </w:tcBorders>
            <w:tcW w:w="2868" w:type="dxa"/>
            <w:vMerge w:val="continue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624" w:type="dxa"/>
            <w:textDirection w:val="lrTb"/>
            <w:noWrap w:val="false"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АЛТ 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181717" w:sz="4" w:space="0"/>
              <w:bottom w:val="none" w:color="000000" w:sz="4" w:space="0"/>
              <w:right w:val="single" w:color="181717" w:sz="4" w:space="0"/>
            </w:tcBorders>
            <w:tcW w:w="2868" w:type="dxa"/>
            <w:vMerge w:val="continue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624" w:type="dxa"/>
            <w:textDirection w:val="lrTb"/>
            <w:noWrap w:val="false"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АСТ 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181717" w:sz="4" w:space="0"/>
              <w:bottom w:val="none" w:color="000000" w:sz="4" w:space="0"/>
              <w:right w:val="single" w:color="181717" w:sz="4" w:space="0"/>
            </w:tcBorders>
            <w:tcW w:w="2868" w:type="dxa"/>
            <w:vMerge w:val="continue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624" w:type="dxa"/>
            <w:textDirection w:val="lrTb"/>
            <w:noWrap w:val="false"/>
          </w:tcPr>
          <w:p>
            <w:pPr>
              <w:ind w:right="334"/>
              <w:jc w:val="both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креатинин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2868" w:type="dxa"/>
            <w:vMerge w:val="continue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624" w:type="dxa"/>
            <w:textDirection w:val="lrTb"/>
            <w:noWrap w:val="false"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мочевина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4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4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Развернутый анализ крови + СОЭ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3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10 дней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4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Общий анализ мочи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3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10 дней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2868" w:type="dxa"/>
            <w:vAlign w:val="center"/>
            <w:vMerge w:val="restart"/>
            <w:textDirection w:val="lrTb"/>
            <w:noWrap w:val="false"/>
          </w:tcPr>
          <w:p>
            <w:pPr>
              <w:ind w:left="45"/>
              <w:spacing w:after="3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Гормоны крови </w:t>
            </w:r>
            <w:r>
              <w:rPr>
                <w:sz w:val="16"/>
                <w:szCs w:val="16"/>
              </w:rPr>
            </w:r>
          </w:p>
          <w:p>
            <w:pPr>
              <w:ind w:left="4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(исследование на 2-5 день менструального цикла):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624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ЛГ 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3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 год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181717" w:sz="4" w:space="0"/>
              <w:bottom w:val="none" w:color="000000" w:sz="4" w:space="0"/>
              <w:right w:val="single" w:color="181717" w:sz="4" w:space="0"/>
            </w:tcBorders>
            <w:tcW w:w="2868" w:type="dxa"/>
            <w:vMerge w:val="continue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624" w:type="dxa"/>
            <w:textDirection w:val="lrTb"/>
            <w:noWrap w:val="false"/>
          </w:tcPr>
          <w:p>
            <w:pPr>
              <w:ind w:right="314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эстрадиол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3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 год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181717" w:sz="4" w:space="0"/>
              <w:bottom w:val="none" w:color="000000" w:sz="4" w:space="0"/>
              <w:right w:val="single" w:color="181717" w:sz="4" w:space="0"/>
            </w:tcBorders>
            <w:tcW w:w="2868" w:type="dxa"/>
            <w:vMerge w:val="continue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624" w:type="dxa"/>
            <w:textDirection w:val="lrTb"/>
            <w:noWrap w:val="false"/>
          </w:tcPr>
          <w:p>
            <w:pPr>
              <w:ind w:right="317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пролактин 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3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 год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181717" w:sz="4" w:space="0"/>
              <w:bottom w:val="none" w:color="000000" w:sz="4" w:space="0"/>
              <w:right w:val="single" w:color="181717" w:sz="4" w:space="0"/>
            </w:tcBorders>
            <w:tcW w:w="2868" w:type="dxa"/>
            <w:vMerge w:val="continue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624" w:type="dxa"/>
            <w:textDirection w:val="lrTb"/>
            <w:noWrap w:val="false"/>
          </w:tcPr>
          <w:p>
            <w:pPr>
              <w:ind w:right="150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тестостерон 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3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 год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181717" w:sz="4" w:space="0"/>
              <w:bottom w:val="none" w:color="000000" w:sz="4" w:space="0"/>
              <w:right w:val="single" w:color="181717" w:sz="4" w:space="0"/>
            </w:tcBorders>
            <w:tcW w:w="2868" w:type="dxa"/>
            <w:vMerge w:val="continue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624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ФСГ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3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6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2868" w:type="dxa"/>
            <w:vMerge w:val="continue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624" w:type="dxa"/>
            <w:textDirection w:val="lrTb"/>
            <w:noWrap w:val="false"/>
          </w:tcPr>
          <w:p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- прогестерон</w:t>
            </w:r>
            <w:r>
              <w:rPr>
                <w:color w:val="auto"/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3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 мес. 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2868" w:type="dxa"/>
            <w:vMerge w:val="restart"/>
            <w:textDirection w:val="lrTb"/>
            <w:noWrap w:val="false"/>
          </w:tcPr>
          <w:p>
            <w:pPr>
              <w:ind w:left="45" w:right="248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Гормоны крови (вне зависимости от дня менструального цикла)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624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антитела к ТПО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3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 год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181717" w:sz="4" w:space="0"/>
              <w:bottom w:val="none" w:color="000000" w:sz="4" w:space="0"/>
              <w:right w:val="single" w:color="181717" w:sz="4" w:space="0"/>
            </w:tcBorders>
            <w:tcW w:w="2868" w:type="dxa"/>
            <w:vMerge w:val="continue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624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ТТГ 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3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 год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2868" w:type="dxa"/>
            <w:vMerge w:val="continue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624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АМГ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textDirection w:val="lrTb"/>
            <w:noWrap w:val="false"/>
          </w:tcPr>
          <w:p>
            <w:pPr>
              <w:ind w:right="3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6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680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45" w:right="158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Комплексное обследование системы гемостаза: АЧТВ, РФМК (ОФТ), ПТВ, фибриноген, антитромбин III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vAlign w:val="center"/>
            <w:textDirection w:val="lrTb"/>
            <w:noWrap w:val="false"/>
          </w:tcPr>
          <w:p>
            <w:pPr>
              <w:ind w:right="3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2868" w:type="dxa"/>
            <w:vAlign w:val="center"/>
            <w:vMerge w:val="restart"/>
            <w:textDirection w:val="lrTb"/>
            <w:noWrap w:val="false"/>
          </w:tcPr>
          <w:p>
            <w:pPr>
              <w:ind w:left="53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Вирусологическое обследование: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624" w:type="dxa"/>
            <w:textDirection w:val="lrTb"/>
            <w:noWrap w:val="false"/>
          </w:tcPr>
          <w:p>
            <w:pPr>
              <w:ind w:right="50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IgM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к вирусу краснухи 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vMerge w:val="restart"/>
            <w:textDirection w:val="lrTb"/>
            <w:noWrap w:val="false"/>
          </w:tcPr>
          <w:p>
            <w:pPr>
              <w:ind w:left="3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при достаточном</w:t>
            </w:r>
            <w:r>
              <w:rPr>
                <w:sz w:val="16"/>
                <w:szCs w:val="16"/>
              </w:rPr>
            </w:r>
          </w:p>
          <w:p>
            <w:pPr>
              <w:jc w:val="center"/>
              <w:spacing w:line="216" w:lineRule="auto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иммунитете – однократно, при отсутствии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ммунитета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- вакцинация не ранее, чем за 3 мес. До лечения.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181717" w:sz="4" w:space="0"/>
              <w:bottom w:val="none" w:color="000000" w:sz="4" w:space="0"/>
              <w:right w:val="single" w:color="181717" w:sz="4" w:space="0"/>
            </w:tcBorders>
            <w:tcW w:w="2868" w:type="dxa"/>
            <w:vMerge w:val="continue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624" w:type="dxa"/>
            <w:textDirection w:val="lrTb"/>
            <w:noWrap w:val="false"/>
          </w:tcPr>
          <w:p>
            <w:pPr>
              <w:ind w:right="70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IgG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к вирусу краснухи 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single" w:color="181717" w:sz="4" w:space="0"/>
              <w:bottom w:val="none" w:color="000000" w:sz="4" w:space="0"/>
              <w:right w:val="single" w:color="181717" w:sz="4" w:space="0"/>
            </w:tcBorders>
            <w:tcW w:w="1649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181717" w:sz="4" w:space="0"/>
              <w:bottom w:val="none" w:color="000000" w:sz="4" w:space="0"/>
              <w:right w:val="single" w:color="181717" w:sz="4" w:space="0"/>
            </w:tcBorders>
            <w:tcW w:w="2868" w:type="dxa"/>
            <w:vMerge w:val="continue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right w:val="single" w:color="181717" w:sz="4" w:space="0"/>
            </w:tcBorders>
            <w:tcW w:w="4624" w:type="dxa"/>
            <w:vMerge w:val="restart"/>
            <w:textDirection w:val="lrTb"/>
            <w:noWrap w:val="false"/>
          </w:tcPr>
          <w:p>
            <w:pPr>
              <w:tabs>
                <w:tab w:val="center" w:pos="2215" w:leader="none"/>
              </w:tabs>
              <w:rPr>
                <w:strike/>
                <w:sz w:val="16"/>
                <w:szCs w:val="16"/>
              </w:rPr>
            </w:pPr>
            <w:r>
              <w:rPr>
                <w:rFonts w:ascii="Arial" w:hAnsi="Arial" w:eastAsia="Arial" w:cs="Arial"/>
                <w:strike/>
                <w:color w:val="181717"/>
                <w:sz w:val="16"/>
                <w:szCs w:val="16"/>
              </w:rPr>
              <w:t xml:space="preserve">с определением </w:t>
            </w:r>
            <w:r>
              <w:rPr>
                <w:rFonts w:ascii="Arial" w:hAnsi="Arial" w:eastAsia="Arial" w:cs="Arial"/>
                <w:strike/>
                <w:color w:val="181717"/>
                <w:sz w:val="16"/>
                <w:szCs w:val="16"/>
              </w:rPr>
              <w:tab/>
            </w:r>
            <w:r>
              <w:rPr>
                <w:rFonts w:ascii="Arial" w:hAnsi="Arial" w:eastAsia="Arial" w:cs="Arial"/>
                <w:strike/>
                <w:color w:val="181717"/>
                <w:sz w:val="16"/>
                <w:szCs w:val="16"/>
              </w:rPr>
              <w:t xml:space="preserve">авидности</w:t>
            </w:r>
            <w:r>
              <w:rPr>
                <w:rFonts w:ascii="Arial" w:hAnsi="Arial" w:eastAsia="Arial" w:cs="Arial"/>
                <w:strike/>
                <w:color w:val="181717"/>
                <w:sz w:val="16"/>
                <w:szCs w:val="16"/>
              </w:rPr>
              <w:t xml:space="preserve"> (информативнее)</w:t>
            </w:r>
            <w:r>
              <w:rPr>
                <w:strike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single" w:color="181717" w:sz="4" w:space="0"/>
              <w:bottom w:val="none" w:color="000000" w:sz="4" w:space="0"/>
              <w:right w:val="single" w:color="181717" w:sz="4" w:space="0"/>
            </w:tcBorders>
            <w:tcW w:w="1649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181717" w:sz="4" w:space="0"/>
              <w:bottom w:val="none" w:color="000000" w:sz="4" w:space="0"/>
              <w:right w:val="single" w:color="181717" w:sz="4" w:space="0"/>
            </w:tcBorders>
            <w:tcW w:w="2868" w:type="dxa"/>
            <w:vMerge w:val="continue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left w:val="single" w:color="181717" w:sz="4" w:space="0"/>
              <w:right w:val="single" w:color="181717" w:sz="4" w:space="0"/>
            </w:tcBorders>
            <w:tcW w:w="4624" w:type="dxa"/>
            <w:vMerge w:val="continue"/>
            <w:textDirection w:val="lrTb"/>
            <w:noWrap w:val="false"/>
          </w:tcPr>
          <w:p>
            <w:pPr>
              <w:ind w:right="33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single" w:color="181717" w:sz="4" w:space="0"/>
              <w:bottom w:val="none" w:color="000000" w:sz="4" w:space="0"/>
              <w:right w:val="single" w:color="181717" w:sz="4" w:space="0"/>
            </w:tcBorders>
            <w:tcW w:w="1649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46"/>
        </w:trPr>
        <w:tc>
          <w:tcPr>
            <w:tcBorders>
              <w:top w:val="none" w:color="000000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2868" w:type="dxa"/>
            <w:vMerge w:val="continue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624" w:type="dxa"/>
            <w:vMerge w:val="continue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49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>
      <w:pPr>
        <w:ind w:left="11" w:hanging="10"/>
        <w:spacing w:after="3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Мужчинам</w:t>
      </w:r>
      <w:r>
        <w:rPr>
          <w:b/>
          <w:sz w:val="16"/>
          <w:szCs w:val="16"/>
        </w:rPr>
      </w:r>
    </w:p>
    <w:tbl>
      <w:tblPr>
        <w:tblStyle w:val="624"/>
        <w:tblW w:w="10431" w:type="dxa"/>
        <w:tblInd w:w="16" w:type="dxa"/>
        <w:tblCellMar>
          <w:left w:w="61" w:type="dxa"/>
          <w:top w:w="38" w:type="dxa"/>
        </w:tblCellMar>
        <w:tblLook w:val="04A0" w:firstRow="1" w:lastRow="0" w:firstColumn="1" w:lastColumn="0" w:noHBand="0" w:noVBand="1"/>
      </w:tblPr>
      <w:tblGrid>
        <w:gridCol w:w="2918"/>
        <w:gridCol w:w="4574"/>
        <w:gridCol w:w="1650"/>
        <w:gridCol w:w="1289"/>
      </w:tblGrid>
      <w:tr>
        <w:tblPrEx/>
        <w:trPr>
          <w:trHeight w:val="227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right="37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наименование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5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срок годности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89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примечания</w:t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4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Определение группы крови и резус-фактора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50" w:type="dxa"/>
            <w:textDirection w:val="lrTb"/>
            <w:noWrap w:val="false"/>
          </w:tcPr>
          <w:p>
            <w:pPr>
              <w:ind w:right="5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бессрочно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89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454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45" w:right="112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Определение антител к бледной трепонеме (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Trepo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nema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pallidum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) в крови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ИФА 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+ РМП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(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  <w:lang w:val="en-US"/>
              </w:rPr>
              <w:t xml:space="preserve">RPR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)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50" w:type="dxa"/>
            <w:vAlign w:val="center"/>
            <w:textDirection w:val="lrTb"/>
            <w:noWrap w:val="false"/>
          </w:tcPr>
          <w:p>
            <w:pPr>
              <w:ind w:right="6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3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89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680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45"/>
              <w:spacing w:line="263" w:lineRule="auto"/>
              <w:rPr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Исследование уровня антител классов M, G (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IgM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, 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IgG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) к вирусу иммунодефицита человека-1/2 + Исследование антигена р24 </w:t>
            </w:r>
            <w:r>
              <w:rPr>
                <w:color w:val="auto"/>
                <w:sz w:val="16"/>
                <w:szCs w:val="16"/>
              </w:rPr>
            </w:r>
          </w:p>
          <w:p>
            <w:pPr>
              <w:ind w:left="45"/>
              <w:rPr>
                <w:color w:val="auto"/>
                <w:sz w:val="16"/>
                <w:szCs w:val="16"/>
                <w:lang w:val="en-US"/>
              </w:rPr>
            </w:pPr>
            <w:r>
              <w:rPr>
                <w:rFonts w:ascii="Arial" w:hAnsi="Arial" w:eastAsia="Arial" w:cs="Arial"/>
                <w:color w:val="auto"/>
                <w:sz w:val="16"/>
                <w:szCs w:val="16"/>
                <w:lang w:val="en-US"/>
              </w:rPr>
              <w:t xml:space="preserve">(human immunodeficiency virus HIV 1/2 + Agp24) 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в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крови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  <w:lang w:val="en-US"/>
              </w:rPr>
              <w:t xml:space="preserve"> </w:t>
            </w:r>
            <w:r>
              <w:rPr>
                <w:color w:val="auto"/>
                <w:sz w:val="16"/>
                <w:szCs w:val="16"/>
                <w:lang w:val="en-US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50" w:type="dxa"/>
            <w:vAlign w:val="center"/>
            <w:textDirection w:val="lrTb"/>
            <w:noWrap w:val="false"/>
          </w:tcPr>
          <w:p>
            <w:pPr>
              <w:ind w:right="51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3 мес.</w:t>
            </w:r>
            <w:r>
              <w:rPr>
                <w:color w:val="auto"/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89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63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rPr>
                <w:rFonts w:ascii="Arial" w:hAnsi="Arial" w:eastAsia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Определение антител класса G к ядерному антигену (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anti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- 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НВс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IgG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) вируса гепатита В (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Hepatitis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В 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virus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) в крови)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50" w:type="dxa"/>
            <w:vAlign w:val="center"/>
            <w:textDirection w:val="lrTb"/>
            <w:noWrap w:val="false"/>
          </w:tcPr>
          <w:p>
            <w:pPr>
              <w:ind w:right="51"/>
              <w:jc w:val="center"/>
              <w:rPr>
                <w:rFonts w:ascii="Arial" w:hAnsi="Arial" w:eastAsia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3 мес.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89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63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rPr>
                <w:rFonts w:ascii="Arial" w:hAnsi="Arial" w:eastAsia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Определение антител класса М к ядерному антигену (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anti-НВс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IgM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) вируса гепатита В (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Hepatitis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 В 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virus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) в крови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50" w:type="dxa"/>
            <w:vAlign w:val="center"/>
            <w:textDirection w:val="lrTb"/>
            <w:noWrap w:val="false"/>
          </w:tcPr>
          <w:p>
            <w:pPr>
              <w:ind w:right="51"/>
              <w:jc w:val="center"/>
              <w:rPr>
                <w:rFonts w:ascii="Arial" w:hAnsi="Arial" w:eastAsia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  <w:t xml:space="preserve">3 мес.</w:t>
            </w:r>
            <w:r>
              <w:rPr>
                <w:rFonts w:ascii="Arial" w:hAnsi="Arial" w:eastAsia="Arial" w:cs="Arial"/>
                <w:color w:val="auto"/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89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454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4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Определение суммарных антител классов M и G (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anti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-HVC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IgG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и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anti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-HVC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IgM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) к вирусу гепатита С (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Hepatitis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С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virus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) в крови 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50" w:type="dxa"/>
            <w:vAlign w:val="center"/>
            <w:textDirection w:val="lrTb"/>
            <w:noWrap w:val="false"/>
          </w:tcPr>
          <w:p>
            <w:pPr>
              <w:ind w:right="6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3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89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2918" w:type="dxa"/>
            <w:vAlign w:val="center"/>
            <w:vMerge w:val="restart"/>
            <w:textDirection w:val="lrTb"/>
            <w:noWrap w:val="false"/>
          </w:tcPr>
          <w:p>
            <w:pPr>
              <w:ind w:left="4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Мазки ПЦР: 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574" w:type="dxa"/>
            <w:textDirection w:val="lrTb"/>
            <w:noWrap w:val="false"/>
          </w:tcPr>
          <w:p>
            <w:pPr>
              <w:ind w:right="19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neisseria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gonorrhoeae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50" w:type="dxa"/>
            <w:textDirection w:val="lrTb"/>
            <w:noWrap w:val="false"/>
          </w:tcPr>
          <w:p>
            <w:pPr>
              <w:ind w:right="5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3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89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181717" w:sz="4" w:space="0"/>
              <w:bottom w:val="none" w:color="000000" w:sz="4" w:space="0"/>
              <w:right w:val="single" w:color="181717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574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trichomonas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vaginalis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50" w:type="dxa"/>
            <w:textDirection w:val="lrTb"/>
            <w:noWrap w:val="false"/>
          </w:tcPr>
          <w:p>
            <w:pPr>
              <w:ind w:right="5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3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89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181717" w:sz="4" w:space="0"/>
              <w:bottom w:val="none" w:color="000000" w:sz="4" w:space="0"/>
              <w:right w:val="single" w:color="181717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574" w:type="dxa"/>
            <w:textDirection w:val="lrTb"/>
            <w:noWrap w:val="false"/>
          </w:tcPr>
          <w:p>
            <w:pPr>
              <w:ind w:right="161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хламидии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trachomatis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50" w:type="dxa"/>
            <w:textDirection w:val="lrTb"/>
            <w:noWrap w:val="false"/>
          </w:tcPr>
          <w:p>
            <w:pPr>
              <w:ind w:right="5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3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89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none" w:color="000000" w:sz="4" w:space="0"/>
              <w:left w:val="single" w:color="181717" w:sz="4" w:space="0"/>
              <w:bottom w:val="none" w:color="000000" w:sz="4" w:space="0"/>
              <w:right w:val="single" w:color="181717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4574" w:type="dxa"/>
            <w:textDirection w:val="lrTb"/>
            <w:noWrap w:val="false"/>
          </w:tcPr>
          <w:p>
            <w:pPr>
              <w:ind w:right="74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 микоплазма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genitalium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50" w:type="dxa"/>
            <w:textDirection w:val="lrTb"/>
            <w:noWrap w:val="false"/>
          </w:tcPr>
          <w:p>
            <w:pPr>
              <w:ind w:right="5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3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89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49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45"/>
              <w:spacing w:after="3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Микроскопическое исследование отделяемого половых органов (из уретры) 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50" w:type="dxa"/>
            <w:vAlign w:val="center"/>
            <w:textDirection w:val="lrTb"/>
            <w:noWrap w:val="false"/>
          </w:tcPr>
          <w:p>
            <w:pPr>
              <w:ind w:right="6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10 дней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89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4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УЗИ предстательной железы и мошонки (при мужском факторе бесплодия)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50" w:type="dxa"/>
            <w:textDirection w:val="lrTb"/>
            <w:noWrap w:val="false"/>
          </w:tcPr>
          <w:p>
            <w:pPr>
              <w:ind w:right="5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6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89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4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Спермограмма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50" w:type="dxa"/>
            <w:textDirection w:val="lrTb"/>
            <w:noWrap w:val="false"/>
          </w:tcPr>
          <w:p>
            <w:pPr>
              <w:ind w:right="5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6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89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4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MAR-тест (при мужском факторе бесплодия)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5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89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4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Морфология (при мужском факторе бесплодия)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5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89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71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45"/>
              <w:spacing w:after="3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Анализ фрагментации ДНК-сперматозоидов (при мужском факторе бесплодия)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5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89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4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Консультация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андролога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(при мужском факторе бесплодия)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5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89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27"/>
        </w:trPr>
        <w:tc>
          <w:tcPr>
            <w:gridSpan w:val="2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492" w:type="dxa"/>
            <w:textDirection w:val="lrTb"/>
            <w:noWrap w:val="false"/>
          </w:tcPr>
          <w:p>
            <w:pPr>
              <w:ind w:left="4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При мужском бесплодии - заключение генетика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650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89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tbl>
      <w:tblPr>
        <w:tblStyle w:val="624"/>
        <w:tblpPr w:horzAnchor="margin" w:tblpXSpec="left" w:vertAnchor="page" w:tblpY="11605" w:leftFromText="0" w:topFromText="0" w:rightFromText="0" w:bottomFromText="0"/>
        <w:tblW w:w="10431" w:type="dxa"/>
        <w:tblInd w:w="0" w:type="dxa"/>
        <w:tblCellMar>
          <w:left w:w="61" w:type="dxa"/>
          <w:top w:w="38" w:type="dxa"/>
        </w:tblCellMar>
        <w:tblLook w:val="04A0" w:firstRow="1" w:lastRow="0" w:firstColumn="1" w:lastColumn="0" w:noHBand="0" w:noVBand="1"/>
      </w:tblPr>
      <w:tblGrid>
        <w:gridCol w:w="7508"/>
        <w:gridCol w:w="1701"/>
        <w:gridCol w:w="1222"/>
      </w:tblGrid>
      <w:tr>
        <w:tblPrEx/>
        <w:trPr>
          <w:trHeight w:val="227"/>
        </w:trPr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508" w:type="dxa"/>
            <w:textDirection w:val="lrTb"/>
            <w:noWrap w:val="false"/>
          </w:tcPr>
          <w:p>
            <w:pPr>
              <w:ind w:right="371"/>
              <w:rPr>
                <w:b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181717"/>
                <w:sz w:val="16"/>
                <w:szCs w:val="16"/>
              </w:rPr>
              <w:t xml:space="preserve">Обследование мужчин перед </w:t>
            </w:r>
            <w:r>
              <w:rPr>
                <w:rFonts w:ascii="Arial" w:hAnsi="Arial" w:eastAsia="Arial" w:cs="Arial"/>
                <w:b/>
                <w:color w:val="181717"/>
                <w:sz w:val="16"/>
                <w:szCs w:val="16"/>
              </w:rPr>
              <w:t xml:space="preserve">КриоЕТ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срок годности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22" w:type="dxa"/>
            <w:textDirection w:val="lrTb"/>
            <w:noWrap w:val="false"/>
          </w:tcPr>
          <w:p>
            <w:pPr>
              <w:ind w:left="102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примечания</w:t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454"/>
        </w:trPr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508" w:type="dxa"/>
            <w:textDirection w:val="lrTb"/>
            <w:noWrap w:val="false"/>
          </w:tcPr>
          <w:p>
            <w:pPr>
              <w:ind w:left="45" w:right="112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Определение антител к бледной трепонеме (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Treponema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pallidum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) в крови + РМП(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  <w:lang w:val="en-US"/>
              </w:rPr>
              <w:t xml:space="preserve">RPR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)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6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3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22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680"/>
        </w:trPr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508" w:type="dxa"/>
            <w:textDirection w:val="lrTb"/>
            <w:noWrap w:val="false"/>
          </w:tcPr>
          <w:p>
            <w:pPr>
              <w:ind w:left="45"/>
              <w:spacing w:line="263" w:lineRule="auto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Исследование уровня антител классов M, G (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IgM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,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IgG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) к вирусу иммунодефицита человека-1/2 + Исследование антигена р24 </w:t>
            </w:r>
            <w:r>
              <w:rPr>
                <w:sz w:val="16"/>
                <w:szCs w:val="16"/>
              </w:rPr>
            </w:r>
          </w:p>
          <w:p>
            <w:pPr>
              <w:ind w:left="45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  <w:lang w:val="en-US"/>
              </w:rPr>
              <w:t xml:space="preserve">(human immunodeficiency virus HIV 1/2 + Agp24)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в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крови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5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3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22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91"/>
        </w:trPr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508" w:type="dxa"/>
            <w:textDirection w:val="lrTb"/>
            <w:noWrap w:val="false"/>
          </w:tcPr>
          <w:p>
            <w:pPr>
              <w:ind w:left="4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Определение антигена (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HBsAg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) вируса гепатита В (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Hepatitis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B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virus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) в крови 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6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3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22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454"/>
        </w:trPr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508" w:type="dxa"/>
            <w:textDirection w:val="lrTb"/>
            <w:noWrap w:val="false"/>
          </w:tcPr>
          <w:p>
            <w:pPr>
              <w:ind w:left="4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Определение суммарных антител классов M и G (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anti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-HVC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IgG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и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anti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-HVC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IgM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) к вирусу гепатита С (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Hepatitis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 С 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virus</w:t>
            </w: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) в крови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6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3 мес.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22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454"/>
        </w:trPr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7508" w:type="dxa"/>
            <w:textDirection w:val="lrTb"/>
            <w:noWrap w:val="false"/>
          </w:tcPr>
          <w:p>
            <w:pPr>
              <w:ind w:left="45"/>
              <w:spacing w:after="3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Микроскопическое исследование отделяемого половых органов </w:t>
            </w:r>
            <w:r>
              <w:rPr>
                <w:sz w:val="16"/>
                <w:szCs w:val="16"/>
              </w:rPr>
            </w:r>
          </w:p>
          <w:p>
            <w:pPr>
              <w:ind w:left="45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(из уретры) 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right="61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181717"/>
                <w:sz w:val="16"/>
                <w:szCs w:val="16"/>
              </w:rPr>
              <w:t xml:space="preserve">10 дней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tcW w:w="1222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>
      <w:pPr>
        <w:spacing w:after="3"/>
        <w:rPr>
          <w:rFonts w:ascii="Arial" w:hAnsi="Arial" w:eastAsia="Arial" w:cs="Arial"/>
          <w:b/>
          <w:color w:val="181717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4039870</wp:posOffset>
                </wp:positionH>
                <wp:positionV relativeFrom="paragraph">
                  <wp:posOffset>1947545</wp:posOffset>
                </wp:positionV>
                <wp:extent cx="1060450" cy="1060450"/>
                <wp:effectExtent l="0" t="0" r="6350" b="6350"/>
                <wp:wrapThrough wrapText="bothSides">
                  <wp:wrapPolygon edited="1">
                    <wp:start x="0" y="0"/>
                    <wp:lineTo x="0" y="21341"/>
                    <wp:lineTo x="21341" y="21341"/>
                    <wp:lineTo x="21341" y="0"/>
                    <wp:lineTo x="0" y="0"/>
                  </wp:wrapPolygon>
                </wp:wrapThrough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как оплатить хранение qr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060450" cy="1060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-251659264;o:allowoverlap:true;o:allowincell:true;mso-position-horizontal-relative:text;margin-left:318.10pt;mso-position-horizontal:absolute;mso-position-vertical-relative:text;margin-top:153.35pt;mso-position-vertical:absolute;width:83.50pt;height:83.50pt;mso-wrap-distance-left:9.00pt;mso-wrap-distance-top:0.00pt;mso-wrap-distance-right:9.00pt;mso-wrap-distance-bottom:0.00pt;" wrapcoords="0 0 0 98801 98801 98801 98801 0 0 0" stroked="false">
                <v:path textboxrect="0,0,0,0"/>
                <w10:wrap type="through"/>
                <v:imagedata r:id="rId10" o:title=""/>
              </v:shape>
            </w:pict>
          </mc:Fallback>
        </mc:AlternateContent>
      </w:r>
      <w:r>
        <w:rPr>
          <w:rFonts w:ascii="Arial" w:hAnsi="Arial" w:eastAsia="Arial" w:cs="Arial"/>
          <w:b/>
          <w:color w:val="181717"/>
        </w:rPr>
      </w:r>
    </w:p>
    <w:p>
      <w:pPr>
        <w:spacing w:after="3"/>
        <w:rPr>
          <w:rFonts w:ascii="Arial" w:hAnsi="Arial" w:eastAsia="Arial" w:cs="Arial"/>
          <w:b/>
          <w:color w:val="181717"/>
        </w:rPr>
      </w:pPr>
      <w:r>
        <w:rPr>
          <w:rFonts w:ascii="Arial" w:hAnsi="Arial" w:eastAsia="Arial" w:cs="Arial"/>
          <w:b/>
          <w:color w:val="181717"/>
        </w:rPr>
        <w:t xml:space="preserve">Для КРИОПЕРЕНОСА</w:t>
      </w:r>
      <w:r>
        <w:rPr>
          <w:rFonts w:ascii="Arial" w:hAnsi="Arial" w:eastAsia="Arial" w:cs="Arial"/>
          <w:b/>
          <w:color w:val="181717"/>
        </w:rPr>
      </w:r>
    </w:p>
    <w:p>
      <w:pPr>
        <w:spacing w:after="3"/>
        <w:rPr>
          <w:rFonts w:ascii="Arial" w:hAnsi="Arial" w:eastAsia="Arial" w:cs="Arial"/>
          <w:b/>
          <w:color w:val="181717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5297170</wp:posOffset>
                </wp:positionH>
                <wp:positionV relativeFrom="page">
                  <wp:posOffset>9701530</wp:posOffset>
                </wp:positionV>
                <wp:extent cx="1441450" cy="609600"/>
                <wp:effectExtent l="0" t="0" r="25400" b="190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1">
                          <a:off x="0" y="0"/>
                          <a:ext cx="1441449" cy="609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ind w:left="11" w:hanging="10"/>
                              <w:spacing w:after="0" w:line="240" w:lineRule="auto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Как оплатить хранение дистанционно?</w:t>
                            </w:r>
                            <w:r>
                              <w:rPr>
                                <w:b/>
                                <w:i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2" o:spid="_x0000_s2" o:spt="202" type="#_x0000_t202" style="position:absolute;z-index:251661312;o:allowoverlap:true;o:allowincell:true;mso-position-horizontal-relative:text;margin-left:417.10pt;mso-position-horizontal:absolute;mso-position-vertical-relative:page;margin-top:763.90pt;mso-position-vertical:absolute;width:113.50pt;height:48.00pt;mso-wrap-distance-left:9.00pt;mso-wrap-distance-top:0.00pt;mso-wrap-distance-right:9.00pt;mso-wrap-distance-bottom:0.00pt;flip:x;v-text-anchor:top;visibility:visible;" filled="f" strokecolor="#000000" strokeweight="0.50pt">
                <v:textbox inset="0,0,0,0">
                  <w:txbxContent>
                    <w:p>
                      <w:pPr>
                        <w:ind w:left="11" w:hanging="10"/>
                        <w:spacing w:after="0" w:line="240" w:lineRule="auto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Как оплатить хранение дистанционно?</w:t>
                      </w:r>
                      <w:r>
                        <w:rPr>
                          <w:b/>
                          <w:i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eastAsia="Arial" w:cs="Arial"/>
          <w:b/>
          <w:color w:val="181717"/>
        </w:rPr>
        <w:t xml:space="preserve">убедитесь в отсутствии задолженности</w:t>
      </w:r>
      <w:r>
        <w:rPr>
          <w:rFonts w:ascii="Arial" w:hAnsi="Arial" w:eastAsia="Arial" w:cs="Arial"/>
          <w:b/>
          <w:color w:val="181717"/>
        </w:rPr>
      </w:r>
    </w:p>
    <w:p>
      <w:pPr>
        <w:spacing w:after="3"/>
        <w:rPr>
          <w:rFonts w:ascii="Arial" w:hAnsi="Arial" w:eastAsia="Arial" w:cs="Arial"/>
          <w:b/>
          <w:color w:val="181717"/>
        </w:rPr>
      </w:pPr>
      <w:r>
        <w:rPr>
          <w:rFonts w:ascii="Arial" w:hAnsi="Arial" w:eastAsia="Arial" w:cs="Arial"/>
          <w:b/>
          <w:color w:val="181717"/>
        </w:rPr>
        <w:t xml:space="preserve">за услугу хранения </w:t>
      </w:r>
      <w:r>
        <w:rPr>
          <w:rFonts w:ascii="Arial" w:hAnsi="Arial" w:eastAsia="Arial" w:cs="Arial"/>
          <w:b/>
          <w:color w:val="181717"/>
        </w:rPr>
        <w:t xml:space="preserve">криоконсервиро</w:t>
      </w:r>
      <w:bookmarkStart w:id="0" w:name="_GoBack"/>
      <w:r/>
      <w:bookmarkEnd w:id="0"/>
      <w:r>
        <w:rPr>
          <w:rFonts w:ascii="Arial" w:hAnsi="Arial" w:eastAsia="Arial" w:cs="Arial"/>
          <w:b/>
          <w:color w:val="181717"/>
        </w:rPr>
        <w:t xml:space="preserve">ванного</w:t>
      </w:r>
      <w:r>
        <w:rPr>
          <w:rFonts w:ascii="Arial" w:hAnsi="Arial" w:eastAsia="Arial" w:cs="Arial"/>
          <w:b/>
          <w:color w:val="181717"/>
        </w:rPr>
        <w:t xml:space="preserve"> </w:t>
      </w:r>
      <w:r>
        <w:rPr>
          <w:rFonts w:ascii="Arial" w:hAnsi="Arial" w:eastAsia="Arial" w:cs="Arial"/>
          <w:b/>
          <w:color w:val="181717"/>
        </w:rPr>
      </w:r>
    </w:p>
    <w:p>
      <w:pPr>
        <w:spacing w:after="3"/>
      </w:pPr>
      <w:r>
        <w:rPr>
          <w:rFonts w:ascii="Arial" w:hAnsi="Arial" w:eastAsia="Arial" w:cs="Arial"/>
          <w:b/>
          <w:color w:val="181717"/>
        </w:rPr>
        <w:t xml:space="preserve">биоматериала</w:t>
      </w:r>
      <w:r/>
    </w:p>
    <w:p>
      <w:pPr>
        <w:ind w:left="21" w:hanging="10"/>
        <w:spacing w:after="3" w:line="240" w:lineRule="auto"/>
      </w:pPr>
      <w:r/>
      <w:r/>
    </w:p>
    <w:sectPr>
      <w:footnotePr/>
      <w:endnotePr/>
      <w:type w:val="nextPage"/>
      <w:pgSz w:w="12260" w:h="17180" w:orient="portrait"/>
      <w:pgMar w:top="366" w:right="1313" w:bottom="627" w:left="88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Arial">
    <w:panose1 w:val="020B0604020202020204"/>
  </w:font>
  <w:font w:name="Calibri">
    <w:panose1 w:val="020F0502020204030204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20"/>
    <w:link w:val="61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0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0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0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0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0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0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0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0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0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0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0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0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0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0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0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  <w:rPr>
      <w:rFonts w:ascii="Calibri" w:hAnsi="Calibri" w:eastAsia="Calibri" w:cs="Calibri"/>
      <w:color w:val="000000"/>
    </w:rPr>
  </w:style>
  <w:style w:type="paragraph" w:styleId="619">
    <w:name w:val="Heading 1"/>
    <w:next w:val="618"/>
    <w:link w:val="623"/>
    <w:uiPriority w:val="9"/>
    <w:unhideWhenUsed/>
    <w:qFormat/>
    <w:pPr>
      <w:ind w:left="1787"/>
      <w:keepLines/>
      <w:keepNext/>
      <w:spacing w:after="17"/>
      <w:outlineLvl w:val="0"/>
    </w:pPr>
    <w:rPr>
      <w:rFonts w:ascii="Arial" w:hAnsi="Arial" w:eastAsia="Arial" w:cs="Arial"/>
      <w:color w:val="181717"/>
      <w:sz w:val="28"/>
    </w:rPr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character" w:styleId="623" w:customStyle="1">
    <w:name w:val="Заголовок 1 Знак"/>
    <w:link w:val="619"/>
    <w:rPr>
      <w:rFonts w:ascii="Arial" w:hAnsi="Arial" w:eastAsia="Arial" w:cs="Arial"/>
      <w:color w:val="181717"/>
      <w:sz w:val="28"/>
    </w:rPr>
  </w:style>
  <w:style w:type="table" w:styleId="624" w:customStyle="1">
    <w:name w:val="Table Grid"/>
    <w:pPr>
      <w:spacing w:after="0" w:line="240" w:lineRule="auto"/>
    </w:p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625">
    <w:name w:val="Balloon Text"/>
    <w:basedOn w:val="618"/>
    <w:link w:val="62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26" w:customStyle="1">
    <w:name w:val="Текст выноски Знак"/>
    <w:basedOn w:val="620"/>
    <w:link w:val="625"/>
    <w:uiPriority w:val="99"/>
    <w:semiHidden/>
    <w:rPr>
      <w:rFonts w:ascii="Segoe UI" w:hAnsi="Segoe UI" w:eastAsia="Calibri" w:cs="Segoe UI"/>
      <w:color w:val="000000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emf"/><Relationship Id="rId9" Type="http://schemas.openxmlformats.org/officeDocument/2006/relationships/image" Target="media/media1.sv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>Mother and Child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eko_oms.cdr</dc:title>
  <dc:subject/>
  <dc:creator>tanya</dc:creator>
  <cp:keywords/>
  <cp:lastModifiedBy>Виктория</cp:lastModifiedBy>
  <cp:revision>3</cp:revision>
  <dcterms:created xsi:type="dcterms:W3CDTF">2026-08-31T03:10:00Z</dcterms:created>
  <dcterms:modified xsi:type="dcterms:W3CDTF">2026-09-02T05:43:24Z</dcterms:modified>
</cp:coreProperties>
</file>